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Daily capacity, structure, available slots: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left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Daily capacity/ Available slots : </w:t>
      </w:r>
    </w:p>
    <w:p w:rsidR="00000000" w:rsidDel="00000000" w:rsidP="00000000" w:rsidRDefault="00000000" w:rsidRPr="00000000" w14:paraId="00000004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  <w:t xml:space="preserve">Wraparound - 6 available slots </w:t>
      </w:r>
    </w:p>
    <w:p w:rsidR="00000000" w:rsidDel="00000000" w:rsidP="00000000" w:rsidRDefault="00000000" w:rsidRPr="00000000" w14:paraId="00000005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  <w:t xml:space="preserve">Furzedown camps - 30 slots ( 15 HAF and 15 direct)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="259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Try to split the camp equally between upstairs and downstairs camp.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="259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When you book you have the option to book morning slots (8:00- 12:00) and afternoon slots (12:00-16:00).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160" w:line="259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provide 15 slots for both these options, it is then the parents decision if they want to book just AM or PM or both. </w:t>
      </w:r>
    </w:p>
    <w:p w:rsidR="00000000" w:rsidDel="00000000" w:rsidP="00000000" w:rsidRDefault="00000000" w:rsidRPr="00000000" w14:paraId="00000009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left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Structure: </w:t>
      </w:r>
    </w:p>
    <w:p w:rsidR="00000000" w:rsidDel="00000000" w:rsidP="00000000" w:rsidRDefault="00000000" w:rsidRPr="00000000" w14:paraId="0000000B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0.5"/>
        <w:gridCol w:w="4880.5"/>
        <w:tblGridChange w:id="0">
          <w:tblGrid>
            <w:gridCol w:w="4880.5"/>
            <w:gridCol w:w="4880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Upstairs Camp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Downstairs camp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Ages 4-8 years.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Ages 9-18 years. </w:t>
            </w:r>
          </w:p>
        </w:tc>
      </w:tr>
    </w:tbl>
    <w:p w:rsidR="00000000" w:rsidDel="00000000" w:rsidP="00000000" w:rsidRDefault="00000000" w:rsidRPr="00000000" w14:paraId="00000010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  <w:t xml:space="preserve">Although ages are heavily considered, the specific needs of each child is a huge priority when sorting the layout and structure of camps. More 1-1 intensive care is placed in our upstairs camps with a higher ratio of staff to children in order to care for this.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