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26"/>
          <w:szCs w:val="26"/>
        </w:rPr>
      </w:pPr>
      <w:bookmarkStart w:colFirst="0" w:colLast="0" w:name="_bkohjqydop11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Manual Handling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Manual handling is one of the leading causes of workplace injury and staff absence. At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we are committed to maintaining a safe working environment by providing appropriate training, carrying out risk assessments, and eliminating hazardous manual handling activities wherever possible.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is written in accordance with the </w:t>
      </w:r>
      <w:r w:rsidDel="00000000" w:rsidR="00000000" w:rsidRPr="00000000">
        <w:rPr>
          <w:b w:val="1"/>
          <w:bCs w:val="1"/>
          <w:rtl w:val="0"/>
        </w:rPr>
        <w:t xml:space="preserve">Health and Safety at Work Act 1974</w:t>
      </w:r>
      <w:r w:rsidDel="00000000" w:rsidR="00000000" w:rsidRPr="00000000">
        <w:rPr>
          <w:rtl w:val="0"/>
        </w:rPr>
        <w:t xml:space="preserve">, which places a duty on employers “to ensure, so far as is reasonably practicable, the health, safety and welfare of employees,” and the </w:t>
      </w:r>
      <w:r w:rsidDel="00000000" w:rsidR="00000000" w:rsidRPr="00000000">
        <w:rPr>
          <w:b w:val="1"/>
          <w:bCs w:val="1"/>
          <w:rtl w:val="0"/>
        </w:rPr>
        <w:t xml:space="preserve">Manual Handling Operations Regulations 1992 (as amended)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9irwuvye7h5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Procedure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minimise the risk of injury from manual handling,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will: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Eliminate hazardous manual handling activities wherever reasonably practicable.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Assess the risks associated with any unavoidable manual handling tasks.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each risk assessment is to reduce the risk of injury to the lowest possible level. The assessment will consider: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task</w:t>
      </w:r>
      <w:r w:rsidDel="00000000" w:rsidR="00000000" w:rsidRPr="00000000">
        <w:rPr>
          <w:rtl w:val="0"/>
        </w:rPr>
        <w:t xml:space="preserve"> to be performed.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load</w:t>
      </w:r>
      <w:r w:rsidDel="00000000" w:rsidR="00000000" w:rsidRPr="00000000">
        <w:rPr>
          <w:rtl w:val="0"/>
        </w:rPr>
        <w:t xml:space="preserve"> being handled.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individual</w:t>
      </w:r>
      <w:r w:rsidDel="00000000" w:rsidR="00000000" w:rsidRPr="00000000">
        <w:rPr>
          <w:rtl w:val="0"/>
        </w:rPr>
        <w:t xml:space="preserve"> undertaking the task.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working environment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main manual handling risk at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is typically related to setting up and clearing away equipment. While this is sometimes unavoidable, staff must carry out these tasks in accordance with the </w:t>
      </w:r>
      <w:r w:rsidDel="00000000" w:rsidR="00000000" w:rsidRPr="00000000">
        <w:rPr>
          <w:b w:val="1"/>
          <w:bCs w:val="1"/>
          <w:rtl w:val="0"/>
        </w:rPr>
        <w:t xml:space="preserve">manual handling training</w:t>
      </w:r>
      <w:r w:rsidDel="00000000" w:rsidR="00000000" w:rsidRPr="00000000">
        <w:rPr>
          <w:rtl w:val="0"/>
        </w:rPr>
        <w:t xml:space="preserve"> provided. Where necessary, staff should seek assistance from a colleague to minimise the risk of injury — for example, when lifting or moving tables and other heavy or bulky items.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fh2l1cpj2c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Employee Responsibilities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the responsibility of all staff at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to: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Follow all instructions and training provided on safe manual handling techniques.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Avoid putting their own health and safety, or that of others, at risk by performing unsafe manual handling activities.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Inform the Manager of any condition or circumstance that may affect their ability to safely carry out manual handling tasks (e.g., pregnancy, back issues, or medical conditions).</w:t>
      </w:r>
    </w:p>
    <w:p w:rsidR="00000000" w:rsidDel="00000000" w:rsidP="00000000" w:rsidRDefault="00000000" w:rsidRPr="00000000" w14:paraId="00000013">
      <w:pPr>
        <w:keepLines w:val="1"/>
        <w:widowControl w:val="0"/>
        <w:spacing w:after="240" w:before="240" w:line="240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1290"/>
        <w:gridCol w:w="3180"/>
        <w:tblGridChange w:id="0">
          <w:tblGrid>
            <w:gridCol w:w="2235"/>
            <w:gridCol w:w="2235"/>
            <w:gridCol w:w="1290"/>
            <w:gridCol w:w="3180"/>
          </w:tblGrid>
        </w:tblGridChange>
      </w:tblGrid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was adopted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 be reviewed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