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6"/>
          <w:szCs w:val="26"/>
        </w:rPr>
      </w:pPr>
      <w:bookmarkStart w:colFirst="0" w:colLast="0" w:name="_fwieyj7vlcf6" w:id="0"/>
      <w:bookmarkEnd w:id="0"/>
      <w:r w:rsidDel="00000000" w:rsidR="00000000" w:rsidRPr="00000000">
        <w:rPr>
          <w:color w:val="ff0000"/>
          <w:sz w:val="22"/>
          <w:szCs w:val="22"/>
          <w:rtl w:val="0"/>
        </w:rPr>
        <w:t xml:space="preserve">xxx</w:t>
      </w:r>
      <w:r w:rsidDel="00000000" w:rsidR="00000000" w:rsidRPr="00000000">
        <w:rPr>
          <w:color w:val="ff0000"/>
          <w:sz w:val="26"/>
          <w:szCs w:val="26"/>
          <w:rtl w:val="0"/>
        </w:rPr>
        <w:t xml:space="preserve">x</w:t>
      </w:r>
      <w:r w:rsidDel="00000000" w:rsidR="00000000" w:rsidRPr="00000000">
        <w:rPr>
          <w:b w:val="1"/>
          <w:bCs w:val="1"/>
          <w:color w:val="000000"/>
          <w:sz w:val="26"/>
          <w:szCs w:val="26"/>
          <w:rtl w:val="0"/>
        </w:rPr>
        <w:t xml:space="preserve"> Whistleblowing Policy</w:t>
      </w:r>
    </w:p>
    <w:p w:rsidR="00000000" w:rsidDel="00000000" w:rsidP="00000000" w:rsidRDefault="00000000" w:rsidRPr="00000000" w14:paraId="00000002">
      <w:pPr>
        <w:pStyle w:val="Heading4"/>
        <w:keepNext w:val="0"/>
        <w:keepLines w:val="0"/>
        <w:spacing w:after="40" w:before="240" w:lineRule="auto"/>
        <w:rPr>
          <w:color w:val="000000"/>
          <w:sz w:val="22"/>
          <w:szCs w:val="22"/>
        </w:rPr>
      </w:pPr>
      <w:bookmarkStart w:colFirst="0" w:colLast="0" w:name="_iqyp7xebzunp" w:id="1"/>
      <w:bookmarkEnd w:id="1"/>
      <w:r w:rsidDel="00000000" w:rsidR="00000000" w:rsidRPr="00000000">
        <w:rPr>
          <w:color w:val="000000"/>
          <w:sz w:val="22"/>
          <w:szCs w:val="22"/>
          <w:rtl w:val="0"/>
        </w:rPr>
        <w:t xml:space="preserve">Policy Statement</w:t>
      </w:r>
    </w:p>
    <w:p w:rsidR="00000000" w:rsidDel="00000000" w:rsidP="00000000" w:rsidRDefault="00000000" w:rsidRPr="00000000" w14:paraId="00000003">
      <w:pPr>
        <w:spacing w:after="240" w:before="240" w:lineRule="auto"/>
        <w:rPr/>
      </w:pPr>
      <w:r w:rsidDel="00000000" w:rsidR="00000000" w:rsidRPr="00000000">
        <w:rPr>
          <w:color w:val="ff0000"/>
          <w:rtl w:val="0"/>
        </w:rPr>
        <w:t xml:space="preserve">xxxx</w:t>
      </w:r>
      <w:r w:rsidDel="00000000" w:rsidR="00000000" w:rsidRPr="00000000">
        <w:rPr>
          <w:rtl w:val="0"/>
        </w:rPr>
        <w:t xml:space="preserve"> is committed to the highest standards of integrity, transparency, and accountability in all aspects of our childcare services. We encourage a culture where staff feel confident in raising concerns about wrongdoing, misconduct, or unsafe practices without fear of retaliation. This Whistleblowing Policy provides guidance on how to report concerns and ensures that all disclosures are taken seriously and handled appropriately.</w:t>
      </w:r>
    </w:p>
    <w:p w:rsidR="00000000" w:rsidDel="00000000" w:rsidP="00000000" w:rsidRDefault="00000000" w:rsidRPr="00000000" w14:paraId="00000004">
      <w:pPr>
        <w:pStyle w:val="Heading4"/>
        <w:keepNext w:val="0"/>
        <w:keepLines w:val="0"/>
        <w:spacing w:after="40" w:before="240" w:lineRule="auto"/>
        <w:rPr>
          <w:color w:val="000000"/>
          <w:sz w:val="22"/>
          <w:szCs w:val="22"/>
        </w:rPr>
      </w:pPr>
      <w:bookmarkStart w:colFirst="0" w:colLast="0" w:name="_kr00idhl4l2f" w:id="2"/>
      <w:bookmarkEnd w:id="2"/>
      <w:r w:rsidDel="00000000" w:rsidR="00000000" w:rsidRPr="00000000">
        <w:rPr>
          <w:color w:val="000000"/>
          <w:sz w:val="22"/>
          <w:szCs w:val="22"/>
          <w:rtl w:val="0"/>
        </w:rPr>
        <w:t xml:space="preserve">Scope of Policy</w:t>
      </w:r>
    </w:p>
    <w:p w:rsidR="00000000" w:rsidDel="00000000" w:rsidP="00000000" w:rsidRDefault="00000000" w:rsidRPr="00000000" w14:paraId="00000005">
      <w:pPr>
        <w:spacing w:after="240" w:before="240" w:lineRule="auto"/>
        <w:rPr/>
      </w:pPr>
      <w:r w:rsidDel="00000000" w:rsidR="00000000" w:rsidRPr="00000000">
        <w:rPr>
          <w:rtl w:val="0"/>
        </w:rPr>
        <w:t xml:space="preserve">This policy applies to:</w:t>
      </w:r>
    </w:p>
    <w:p w:rsidR="00000000" w:rsidDel="00000000" w:rsidP="00000000" w:rsidRDefault="00000000" w:rsidRPr="00000000" w14:paraId="00000006">
      <w:pPr>
        <w:numPr>
          <w:ilvl w:val="0"/>
          <w:numId w:val="5"/>
        </w:numPr>
        <w:spacing w:after="0" w:afterAutospacing="0" w:before="240" w:lineRule="auto"/>
        <w:ind w:left="720" w:hanging="360"/>
        <w:rPr/>
      </w:pPr>
      <w:r w:rsidDel="00000000" w:rsidR="00000000" w:rsidRPr="00000000">
        <w:rPr>
          <w:rtl w:val="0"/>
        </w:rPr>
        <w:t xml:space="preserve">All employees (permanent, temporary, or agency staff)</w:t>
      </w:r>
    </w:p>
    <w:p w:rsidR="00000000" w:rsidDel="00000000" w:rsidP="00000000" w:rsidRDefault="00000000" w:rsidRPr="00000000" w14:paraId="00000007">
      <w:pPr>
        <w:numPr>
          <w:ilvl w:val="0"/>
          <w:numId w:val="5"/>
        </w:numPr>
        <w:spacing w:after="0" w:afterAutospacing="0" w:before="0" w:beforeAutospacing="0" w:lineRule="auto"/>
        <w:ind w:left="720" w:hanging="360"/>
        <w:rPr/>
      </w:pPr>
      <w:r w:rsidDel="00000000" w:rsidR="00000000" w:rsidRPr="00000000">
        <w:rPr>
          <w:rtl w:val="0"/>
        </w:rPr>
        <w:t xml:space="preserve">Volunteers and students on placement</w:t>
      </w:r>
    </w:p>
    <w:p w:rsidR="00000000" w:rsidDel="00000000" w:rsidP="00000000" w:rsidRDefault="00000000" w:rsidRPr="00000000" w14:paraId="00000008">
      <w:pPr>
        <w:numPr>
          <w:ilvl w:val="0"/>
          <w:numId w:val="5"/>
        </w:numPr>
        <w:spacing w:after="240" w:before="0" w:beforeAutospacing="0" w:lineRule="auto"/>
        <w:ind w:left="720" w:hanging="360"/>
        <w:rPr/>
      </w:pPr>
      <w:r w:rsidDel="00000000" w:rsidR="00000000" w:rsidRPr="00000000">
        <w:rPr>
          <w:rtl w:val="0"/>
        </w:rPr>
        <w:t xml:space="preserve">Contractors and third-party service providers</w:t>
      </w:r>
    </w:p>
    <w:p w:rsidR="00000000" w:rsidDel="00000000" w:rsidP="00000000" w:rsidRDefault="00000000" w:rsidRPr="00000000" w14:paraId="00000009">
      <w:pPr>
        <w:pStyle w:val="Heading4"/>
        <w:keepNext w:val="0"/>
        <w:keepLines w:val="0"/>
        <w:spacing w:after="40" w:before="240" w:lineRule="auto"/>
        <w:rPr>
          <w:color w:val="000000"/>
          <w:sz w:val="22"/>
          <w:szCs w:val="22"/>
        </w:rPr>
      </w:pPr>
      <w:bookmarkStart w:colFirst="0" w:colLast="0" w:name="_5ol8w1gw1jwv" w:id="3"/>
      <w:bookmarkEnd w:id="3"/>
      <w:r w:rsidDel="00000000" w:rsidR="00000000" w:rsidRPr="00000000">
        <w:rPr>
          <w:color w:val="000000"/>
          <w:sz w:val="22"/>
          <w:szCs w:val="22"/>
          <w:rtl w:val="0"/>
        </w:rPr>
        <w:t xml:space="preserve">What Should Be Reported?</w:t>
      </w:r>
    </w:p>
    <w:p w:rsidR="00000000" w:rsidDel="00000000" w:rsidP="00000000" w:rsidRDefault="00000000" w:rsidRPr="00000000" w14:paraId="0000000A">
      <w:pPr>
        <w:spacing w:after="240" w:before="240" w:lineRule="auto"/>
        <w:rPr/>
      </w:pPr>
      <w:r w:rsidDel="00000000" w:rsidR="00000000" w:rsidRPr="00000000">
        <w:rPr>
          <w:rtl w:val="0"/>
        </w:rPr>
        <w:t xml:space="preserve">Whistleblowing covers serious concerns about practices that may be illegal, unethical, or dangerous. Examples include:</w:t>
      </w:r>
    </w:p>
    <w:p w:rsidR="00000000" w:rsidDel="00000000" w:rsidP="00000000" w:rsidRDefault="00000000" w:rsidRPr="00000000" w14:paraId="0000000B">
      <w:pPr>
        <w:numPr>
          <w:ilvl w:val="0"/>
          <w:numId w:val="4"/>
        </w:numPr>
        <w:spacing w:after="0" w:afterAutospacing="0" w:before="240" w:lineRule="auto"/>
        <w:ind w:left="720" w:hanging="360"/>
        <w:rPr/>
      </w:pPr>
      <w:r w:rsidDel="00000000" w:rsidR="00000000" w:rsidRPr="00000000">
        <w:rPr>
          <w:rtl w:val="0"/>
        </w:rPr>
        <w:t xml:space="preserve">Child safeguarding concerns, such as neglect or abuse</w:t>
      </w:r>
    </w:p>
    <w:p w:rsidR="00000000" w:rsidDel="00000000" w:rsidP="00000000" w:rsidRDefault="00000000" w:rsidRPr="00000000" w14:paraId="0000000C">
      <w:pPr>
        <w:numPr>
          <w:ilvl w:val="0"/>
          <w:numId w:val="4"/>
        </w:numPr>
        <w:spacing w:after="0" w:afterAutospacing="0" w:before="0" w:beforeAutospacing="0" w:lineRule="auto"/>
        <w:ind w:left="720" w:hanging="360"/>
        <w:rPr/>
      </w:pPr>
      <w:r w:rsidDel="00000000" w:rsidR="00000000" w:rsidRPr="00000000">
        <w:rPr>
          <w:rtl w:val="0"/>
        </w:rPr>
        <w:t xml:space="preserve">Unsafe working practices that put children or staff at risk</w:t>
      </w:r>
    </w:p>
    <w:p w:rsidR="00000000" w:rsidDel="00000000" w:rsidP="00000000" w:rsidRDefault="00000000" w:rsidRPr="00000000" w14:paraId="0000000D">
      <w:pPr>
        <w:numPr>
          <w:ilvl w:val="0"/>
          <w:numId w:val="4"/>
        </w:numPr>
        <w:spacing w:after="0" w:afterAutospacing="0" w:before="0" w:beforeAutospacing="0" w:lineRule="auto"/>
        <w:ind w:left="720" w:hanging="360"/>
        <w:rPr/>
      </w:pPr>
      <w:r w:rsidDel="00000000" w:rsidR="00000000" w:rsidRPr="00000000">
        <w:rPr>
          <w:rtl w:val="0"/>
        </w:rPr>
        <w:t xml:space="preserve">Fraud, financial misconduct, or mismanagement of funds</w:t>
      </w:r>
    </w:p>
    <w:p w:rsidR="00000000" w:rsidDel="00000000" w:rsidP="00000000" w:rsidRDefault="00000000" w:rsidRPr="00000000" w14:paraId="0000000E">
      <w:pPr>
        <w:numPr>
          <w:ilvl w:val="0"/>
          <w:numId w:val="4"/>
        </w:numPr>
        <w:spacing w:after="0" w:afterAutospacing="0" w:before="0" w:beforeAutospacing="0" w:lineRule="auto"/>
        <w:ind w:left="720" w:hanging="360"/>
        <w:rPr/>
      </w:pPr>
      <w:r w:rsidDel="00000000" w:rsidR="00000000" w:rsidRPr="00000000">
        <w:rPr>
          <w:rtl w:val="0"/>
        </w:rPr>
        <w:t xml:space="preserve">Breaches of health and safety regulations</w:t>
      </w:r>
    </w:p>
    <w:p w:rsidR="00000000" w:rsidDel="00000000" w:rsidP="00000000" w:rsidRDefault="00000000" w:rsidRPr="00000000" w14:paraId="0000000F">
      <w:pPr>
        <w:numPr>
          <w:ilvl w:val="0"/>
          <w:numId w:val="4"/>
        </w:numPr>
        <w:spacing w:after="0" w:afterAutospacing="0" w:before="0" w:beforeAutospacing="0" w:lineRule="auto"/>
        <w:ind w:left="720" w:hanging="360"/>
        <w:rPr/>
      </w:pPr>
      <w:r w:rsidDel="00000000" w:rsidR="00000000" w:rsidRPr="00000000">
        <w:rPr>
          <w:rtl w:val="0"/>
        </w:rPr>
        <w:t xml:space="preserve">Discrimination, harassment, or bullying within the workplace</w:t>
      </w:r>
    </w:p>
    <w:p w:rsidR="00000000" w:rsidDel="00000000" w:rsidP="00000000" w:rsidRDefault="00000000" w:rsidRPr="00000000" w14:paraId="00000010">
      <w:pPr>
        <w:numPr>
          <w:ilvl w:val="0"/>
          <w:numId w:val="4"/>
        </w:numPr>
        <w:spacing w:after="240" w:before="0" w:beforeAutospacing="0" w:lineRule="auto"/>
        <w:ind w:left="720" w:hanging="360"/>
        <w:rPr/>
      </w:pPr>
      <w:r w:rsidDel="00000000" w:rsidR="00000000" w:rsidRPr="00000000">
        <w:rPr>
          <w:rtl w:val="0"/>
        </w:rPr>
        <w:t xml:space="preserve">Any attempt to cover up wrongdoing</w:t>
      </w:r>
    </w:p>
    <w:p w:rsidR="00000000" w:rsidDel="00000000" w:rsidP="00000000" w:rsidRDefault="00000000" w:rsidRPr="00000000" w14:paraId="00000011">
      <w:pPr>
        <w:pStyle w:val="Heading4"/>
        <w:keepNext w:val="0"/>
        <w:keepLines w:val="0"/>
        <w:spacing w:after="40" w:before="240" w:lineRule="auto"/>
        <w:rPr>
          <w:color w:val="000000"/>
          <w:sz w:val="22"/>
          <w:szCs w:val="22"/>
        </w:rPr>
      </w:pPr>
      <w:bookmarkStart w:colFirst="0" w:colLast="0" w:name="_pz7gerdevuoe" w:id="4"/>
      <w:bookmarkEnd w:id="4"/>
      <w:r w:rsidDel="00000000" w:rsidR="00000000" w:rsidRPr="00000000">
        <w:rPr>
          <w:color w:val="000000"/>
          <w:sz w:val="22"/>
          <w:szCs w:val="22"/>
          <w:rtl w:val="0"/>
        </w:rPr>
        <w:t xml:space="preserve">How to Raise a Concern</w:t>
      </w:r>
    </w:p>
    <w:p w:rsidR="00000000" w:rsidDel="00000000" w:rsidP="00000000" w:rsidRDefault="00000000" w:rsidRPr="00000000" w14:paraId="00000012">
      <w:pPr>
        <w:numPr>
          <w:ilvl w:val="0"/>
          <w:numId w:val="1"/>
        </w:numPr>
        <w:spacing w:after="0" w:afterAutospacing="0" w:before="240" w:lineRule="auto"/>
        <w:ind w:left="720" w:hanging="360"/>
        <w:rPr/>
      </w:pPr>
      <w:r w:rsidDel="00000000" w:rsidR="00000000" w:rsidRPr="00000000">
        <w:rPr>
          <w:rtl w:val="0"/>
        </w:rPr>
        <w:t xml:space="preserve">Internal Reporting</w:t>
      </w:r>
    </w:p>
    <w:p w:rsidR="00000000" w:rsidDel="00000000" w:rsidP="00000000" w:rsidRDefault="00000000" w:rsidRPr="00000000" w14:paraId="00000013">
      <w:pPr>
        <w:numPr>
          <w:ilvl w:val="1"/>
          <w:numId w:val="1"/>
        </w:numPr>
        <w:spacing w:after="0" w:afterAutospacing="0" w:before="0" w:beforeAutospacing="0" w:lineRule="auto"/>
        <w:ind w:left="1440" w:hanging="360"/>
        <w:rPr/>
      </w:pPr>
      <w:r w:rsidDel="00000000" w:rsidR="00000000" w:rsidRPr="00000000">
        <w:rPr>
          <w:rtl w:val="0"/>
        </w:rPr>
        <w:t xml:space="preserve">Concerns should be raised as soon as possible to a line manager or designated safeguarding lead (DSL - </w:t>
      </w:r>
      <w:r w:rsidDel="00000000" w:rsidR="00000000" w:rsidRPr="00000000">
        <w:rPr>
          <w:color w:val="ff0000"/>
          <w:rtl w:val="0"/>
        </w:rPr>
        <w:t xml:space="preserve">xxxx</w:t>
      </w:r>
      <w:r w:rsidDel="00000000" w:rsidR="00000000" w:rsidRPr="00000000">
        <w:rPr>
          <w:rtl w:val="0"/>
        </w:rPr>
        <w:t xml:space="preserve">).</w:t>
      </w:r>
    </w:p>
    <w:p w:rsidR="00000000" w:rsidDel="00000000" w:rsidP="00000000" w:rsidRDefault="00000000" w:rsidRPr="00000000" w14:paraId="00000014">
      <w:pPr>
        <w:numPr>
          <w:ilvl w:val="1"/>
          <w:numId w:val="1"/>
        </w:numPr>
        <w:spacing w:after="0" w:afterAutospacing="0" w:before="0" w:beforeAutospacing="0" w:lineRule="auto"/>
        <w:ind w:left="1440" w:hanging="360"/>
        <w:rPr/>
      </w:pPr>
      <w:r w:rsidDel="00000000" w:rsidR="00000000" w:rsidRPr="00000000">
        <w:rPr>
          <w:rtl w:val="0"/>
        </w:rPr>
        <w:t xml:space="preserve">If the concern involves the line manager or DSL, it should be reported to the Company Director or a senior member of staff .</w:t>
      </w:r>
    </w:p>
    <w:p w:rsidR="00000000" w:rsidDel="00000000" w:rsidP="00000000" w:rsidRDefault="00000000" w:rsidRPr="00000000" w14:paraId="00000015">
      <w:pPr>
        <w:numPr>
          <w:ilvl w:val="0"/>
          <w:numId w:val="1"/>
        </w:numPr>
        <w:spacing w:after="0" w:afterAutospacing="0" w:before="0" w:beforeAutospacing="0" w:lineRule="auto"/>
        <w:ind w:left="720" w:hanging="360"/>
        <w:rPr/>
      </w:pPr>
      <w:r w:rsidDel="00000000" w:rsidR="00000000" w:rsidRPr="00000000">
        <w:rPr>
          <w:rtl w:val="0"/>
        </w:rPr>
        <w:t xml:space="preserve">Confidentiality</w:t>
      </w:r>
    </w:p>
    <w:p w:rsidR="00000000" w:rsidDel="00000000" w:rsidP="00000000" w:rsidRDefault="00000000" w:rsidRPr="00000000" w14:paraId="00000016">
      <w:pPr>
        <w:numPr>
          <w:ilvl w:val="1"/>
          <w:numId w:val="1"/>
        </w:numPr>
        <w:spacing w:after="0" w:afterAutospacing="0" w:before="0" w:beforeAutospacing="0" w:lineRule="auto"/>
        <w:ind w:left="1440" w:hanging="360"/>
        <w:rPr/>
      </w:pPr>
      <w:r w:rsidDel="00000000" w:rsidR="00000000" w:rsidRPr="00000000">
        <w:rPr>
          <w:rtl w:val="0"/>
        </w:rPr>
        <w:t xml:space="preserve">Reports will be treated with the utmost confidentiality, and the whistleblower’s identity will be protected as far as possible.</w:t>
      </w:r>
    </w:p>
    <w:p w:rsidR="00000000" w:rsidDel="00000000" w:rsidP="00000000" w:rsidRDefault="00000000" w:rsidRPr="00000000" w14:paraId="00000017">
      <w:pPr>
        <w:numPr>
          <w:ilvl w:val="1"/>
          <w:numId w:val="1"/>
        </w:numPr>
        <w:spacing w:after="0" w:afterAutospacing="0" w:before="0" w:beforeAutospacing="0" w:lineRule="auto"/>
        <w:ind w:left="1440" w:hanging="360"/>
        <w:rPr/>
      </w:pPr>
      <w:r w:rsidDel="00000000" w:rsidR="00000000" w:rsidRPr="00000000">
        <w:rPr>
          <w:rtl w:val="0"/>
        </w:rPr>
        <w:t xml:space="preserve">Anonymous concerns will be considered but may be harder to investigate effectively.</w:t>
      </w:r>
    </w:p>
    <w:p w:rsidR="00000000" w:rsidDel="00000000" w:rsidP="00000000" w:rsidRDefault="00000000" w:rsidRPr="00000000" w14:paraId="00000018">
      <w:pPr>
        <w:numPr>
          <w:ilvl w:val="0"/>
          <w:numId w:val="1"/>
        </w:numPr>
        <w:spacing w:after="0" w:afterAutospacing="0" w:before="0" w:beforeAutospacing="0" w:lineRule="auto"/>
        <w:ind w:left="720" w:hanging="360"/>
        <w:rPr/>
      </w:pPr>
      <w:r w:rsidDel="00000000" w:rsidR="00000000" w:rsidRPr="00000000">
        <w:rPr>
          <w:rtl w:val="0"/>
        </w:rPr>
        <w:t xml:space="preserve">External Reporting</w:t>
        <w:br w:type="textWrapping"/>
        <w:t xml:space="preserve">If a concern is not addressed internally or if the whistleblower feels unable to report within the company, they can contact:</w:t>
      </w:r>
    </w:p>
    <w:p w:rsidR="00000000" w:rsidDel="00000000" w:rsidP="00000000" w:rsidRDefault="00000000" w:rsidRPr="00000000" w14:paraId="00000019">
      <w:pPr>
        <w:numPr>
          <w:ilvl w:val="1"/>
          <w:numId w:val="1"/>
        </w:numPr>
        <w:spacing w:after="0" w:afterAutospacing="0" w:before="0" w:beforeAutospacing="0" w:lineRule="auto"/>
        <w:ind w:left="1440" w:hanging="360"/>
        <w:rPr/>
      </w:pPr>
      <w:r w:rsidDel="00000000" w:rsidR="00000000" w:rsidRPr="00000000">
        <w:rPr>
          <w:rtl w:val="0"/>
        </w:rPr>
        <w:t xml:space="preserve">Ofsted (for childcare-related concerns) – 0300 123 3155</w:t>
      </w:r>
    </w:p>
    <w:p w:rsidR="00000000" w:rsidDel="00000000" w:rsidP="00000000" w:rsidRDefault="00000000" w:rsidRPr="00000000" w14:paraId="0000001A">
      <w:pPr>
        <w:numPr>
          <w:ilvl w:val="1"/>
          <w:numId w:val="1"/>
        </w:numPr>
        <w:spacing w:after="0" w:afterAutospacing="0" w:before="0" w:beforeAutospacing="0" w:lineRule="auto"/>
        <w:ind w:left="1440" w:hanging="360"/>
        <w:rPr/>
      </w:pPr>
      <w:r w:rsidDel="00000000" w:rsidR="00000000" w:rsidRPr="00000000">
        <w:rPr>
          <w:rtl w:val="0"/>
        </w:rPr>
        <w:t xml:space="preserve">Local Safeguarding Children Partnership</w:t>
      </w:r>
    </w:p>
    <w:p w:rsidR="00000000" w:rsidDel="00000000" w:rsidP="00000000" w:rsidRDefault="00000000" w:rsidRPr="00000000" w14:paraId="0000001B">
      <w:pPr>
        <w:numPr>
          <w:ilvl w:val="1"/>
          <w:numId w:val="1"/>
        </w:numPr>
        <w:spacing w:after="240" w:before="0" w:beforeAutospacing="0" w:lineRule="auto"/>
        <w:ind w:left="1440" w:hanging="360"/>
        <w:rPr/>
      </w:pPr>
      <w:r w:rsidDel="00000000" w:rsidR="00000000" w:rsidRPr="00000000">
        <w:rPr>
          <w:rtl w:val="0"/>
        </w:rPr>
        <w:t xml:space="preserve">NSPCC Whistleblowing Advice Line – 0800 028 0285</w:t>
      </w:r>
    </w:p>
    <w:p w:rsidR="00000000" w:rsidDel="00000000" w:rsidP="00000000" w:rsidRDefault="00000000" w:rsidRPr="00000000" w14:paraId="0000001C">
      <w:pPr>
        <w:pStyle w:val="Heading4"/>
        <w:keepNext w:val="0"/>
        <w:keepLines w:val="0"/>
        <w:spacing w:after="40" w:before="240" w:lineRule="auto"/>
        <w:rPr>
          <w:color w:val="000000"/>
          <w:sz w:val="22"/>
          <w:szCs w:val="22"/>
        </w:rPr>
      </w:pPr>
      <w:bookmarkStart w:colFirst="0" w:colLast="0" w:name="_o0dnwsianhzr" w:id="5"/>
      <w:bookmarkEnd w:id="5"/>
      <w:r w:rsidDel="00000000" w:rsidR="00000000" w:rsidRPr="00000000">
        <w:rPr>
          <w:color w:val="000000"/>
          <w:sz w:val="22"/>
          <w:szCs w:val="22"/>
          <w:rtl w:val="0"/>
        </w:rPr>
        <w:t xml:space="preserve">Protection for Whistleblowers</w:t>
      </w:r>
    </w:p>
    <w:p w:rsidR="00000000" w:rsidDel="00000000" w:rsidP="00000000" w:rsidRDefault="00000000" w:rsidRPr="00000000" w14:paraId="0000001D">
      <w:pPr>
        <w:numPr>
          <w:ilvl w:val="0"/>
          <w:numId w:val="2"/>
        </w:numPr>
        <w:spacing w:after="0" w:afterAutospacing="0" w:before="240" w:lineRule="auto"/>
        <w:ind w:left="720" w:hanging="360"/>
        <w:rPr/>
      </w:pPr>
      <w:r w:rsidDel="00000000" w:rsidR="00000000" w:rsidRPr="00000000">
        <w:rPr>
          <w:rtl w:val="0"/>
        </w:rPr>
        <w:t xml:space="preserve">[</w:t>
      </w:r>
      <w:r w:rsidDel="00000000" w:rsidR="00000000" w:rsidRPr="00000000">
        <w:rPr>
          <w:color w:val="ff0000"/>
          <w:rtl w:val="0"/>
        </w:rPr>
        <w:t xml:space="preserve">xxxx</w:t>
      </w:r>
      <w:r w:rsidDel="00000000" w:rsidR="00000000" w:rsidRPr="00000000">
        <w:rPr>
          <w:rtl w:val="0"/>
        </w:rPr>
        <w:t xml:space="preserve">] does not tolerate any form of victimisation or retaliation against whistleblowers.</w:t>
      </w:r>
    </w:p>
    <w:p w:rsidR="00000000" w:rsidDel="00000000" w:rsidP="00000000" w:rsidRDefault="00000000" w:rsidRPr="00000000" w14:paraId="0000001E">
      <w:pPr>
        <w:numPr>
          <w:ilvl w:val="0"/>
          <w:numId w:val="2"/>
        </w:numPr>
        <w:spacing w:after="0" w:afterAutospacing="0" w:before="0" w:beforeAutospacing="0" w:lineRule="auto"/>
        <w:ind w:left="720" w:hanging="360"/>
        <w:rPr/>
      </w:pPr>
      <w:r w:rsidDel="00000000" w:rsidR="00000000" w:rsidRPr="00000000">
        <w:rPr>
          <w:rtl w:val="0"/>
        </w:rPr>
        <w:t xml:space="preserve">Any employee found to have retaliated against a whistleblower will face disciplinary action.</w:t>
      </w:r>
    </w:p>
    <w:p w:rsidR="00000000" w:rsidDel="00000000" w:rsidP="00000000" w:rsidRDefault="00000000" w:rsidRPr="00000000" w14:paraId="0000001F">
      <w:pPr>
        <w:numPr>
          <w:ilvl w:val="0"/>
          <w:numId w:val="2"/>
        </w:numPr>
        <w:spacing w:after="240" w:before="0" w:beforeAutospacing="0" w:lineRule="auto"/>
        <w:ind w:left="720" w:hanging="360"/>
        <w:rPr/>
      </w:pPr>
      <w:r w:rsidDel="00000000" w:rsidR="00000000" w:rsidRPr="00000000">
        <w:rPr>
          <w:rtl w:val="0"/>
        </w:rPr>
        <w:t xml:space="preserve">Whistleblowers who make genuine reports will be supported, even if their concerns turn out to be unfounded.</w:t>
      </w:r>
    </w:p>
    <w:p w:rsidR="00000000" w:rsidDel="00000000" w:rsidP="00000000" w:rsidRDefault="00000000" w:rsidRPr="00000000" w14:paraId="00000020">
      <w:pPr>
        <w:pStyle w:val="Heading4"/>
        <w:keepNext w:val="0"/>
        <w:keepLines w:val="0"/>
        <w:spacing w:after="40" w:before="240" w:lineRule="auto"/>
        <w:rPr>
          <w:color w:val="000000"/>
          <w:sz w:val="22"/>
          <w:szCs w:val="22"/>
        </w:rPr>
      </w:pPr>
      <w:bookmarkStart w:colFirst="0" w:colLast="0" w:name="_2u8g3brwkbpw" w:id="6"/>
      <w:bookmarkEnd w:id="6"/>
      <w:r w:rsidDel="00000000" w:rsidR="00000000" w:rsidRPr="00000000">
        <w:rPr>
          <w:color w:val="000000"/>
          <w:sz w:val="22"/>
          <w:szCs w:val="22"/>
          <w:rtl w:val="0"/>
        </w:rPr>
        <w:t xml:space="preserve">Investigation Process</w:t>
      </w:r>
    </w:p>
    <w:p w:rsidR="00000000" w:rsidDel="00000000" w:rsidP="00000000" w:rsidRDefault="00000000" w:rsidRPr="00000000" w14:paraId="00000021">
      <w:pPr>
        <w:numPr>
          <w:ilvl w:val="0"/>
          <w:numId w:val="3"/>
        </w:numPr>
        <w:spacing w:after="0" w:afterAutospacing="0" w:before="240" w:lineRule="auto"/>
        <w:ind w:left="720" w:hanging="360"/>
        <w:rPr/>
      </w:pPr>
      <w:r w:rsidDel="00000000" w:rsidR="00000000" w:rsidRPr="00000000">
        <w:rPr>
          <w:rtl w:val="0"/>
        </w:rPr>
        <w:t xml:space="preserve">All concerns will be investigated promptly and fairly.</w:t>
      </w:r>
    </w:p>
    <w:p w:rsidR="00000000" w:rsidDel="00000000" w:rsidP="00000000" w:rsidRDefault="00000000" w:rsidRPr="00000000" w14:paraId="00000022">
      <w:pPr>
        <w:numPr>
          <w:ilvl w:val="0"/>
          <w:numId w:val="3"/>
        </w:numPr>
        <w:spacing w:after="0" w:afterAutospacing="0" w:before="0" w:beforeAutospacing="0" w:lineRule="auto"/>
        <w:ind w:left="720" w:hanging="360"/>
        <w:rPr/>
      </w:pPr>
      <w:r w:rsidDel="00000000" w:rsidR="00000000" w:rsidRPr="00000000">
        <w:rPr>
          <w:rtl w:val="0"/>
        </w:rPr>
        <w:t xml:space="preserve">Where necessary, an independent investigation may be conducted.</w:t>
      </w:r>
    </w:p>
    <w:p w:rsidR="00000000" w:rsidDel="00000000" w:rsidP="00000000" w:rsidRDefault="00000000" w:rsidRPr="00000000" w14:paraId="00000023">
      <w:pPr>
        <w:numPr>
          <w:ilvl w:val="0"/>
          <w:numId w:val="3"/>
        </w:numPr>
        <w:spacing w:after="240" w:before="0" w:beforeAutospacing="0" w:lineRule="auto"/>
        <w:ind w:left="720" w:hanging="360"/>
        <w:rPr/>
      </w:pPr>
      <w:r w:rsidDel="00000000" w:rsidR="00000000" w:rsidRPr="00000000">
        <w:rPr>
          <w:rtl w:val="0"/>
        </w:rPr>
        <w:t xml:space="preserve">The whistleblower will be informed of the outcome where appropriate.</w:t>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keepLines w:val="1"/>
        <w:widowControl w:val="0"/>
        <w:spacing w:after="240" w:before="240" w:line="240" w:lineRule="auto"/>
        <w:rPr>
          <w:b w:val="1"/>
          <w:bCs w:val="1"/>
          <w:color w:val="ff0000"/>
        </w:rPr>
      </w:pPr>
      <w:r w:rsidDel="00000000" w:rsidR="00000000" w:rsidRPr="00000000">
        <w:rPr>
          <w:rtl w:val="0"/>
        </w:rPr>
      </w:r>
    </w:p>
    <w:tbl>
      <w:tblPr>
        <w:tblStyle w:val="Table1"/>
        <w:tblW w:w="97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0.25"/>
        <w:gridCol w:w="2440.25"/>
        <w:gridCol w:w="2440.25"/>
        <w:gridCol w:w="2440.25"/>
        <w:tblGridChange w:id="0">
          <w:tblGrid>
            <w:gridCol w:w="2440.25"/>
            <w:gridCol w:w="2440.25"/>
            <w:gridCol w:w="2440.25"/>
            <w:gridCol w:w="244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513"/>
        <w:tab w:val="right" w:leader="none" w:pos="10470"/>
      </w:tabs>
      <w:spacing w:line="240" w:lineRule="auto"/>
      <w:ind w:hanging="1440"/>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-5024</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